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ind w:left="609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</w:t>
      </w:r>
    </w:p>
    <w:p>
      <w:pPr>
        <w:spacing w:after="0"/>
        <w:ind w:left="6096"/>
        <w:rPr>
          <w:rFonts w:ascii="Times New Roman" w:hAnsi="Times New Roman" w:cs="Times New Roman"/>
        </w:rPr>
      </w:pPr>
    </w:p>
    <w:p>
      <w:pPr>
        <w:spacing w:after="0"/>
        <w:ind w:left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Генеральный директор</w:t>
      </w:r>
    </w:p>
    <w:p>
      <w:pPr>
        <w:spacing w:after="0"/>
        <w:ind w:left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ООО «Балтик Бизнес Медиа»</w:t>
      </w:r>
    </w:p>
    <w:p>
      <w:pPr>
        <w:spacing w:after="0"/>
        <w:ind w:left="6096"/>
        <w:rPr>
          <w:rFonts w:ascii="Times New Roman" w:hAnsi="Times New Roman" w:cs="Times New Roman"/>
        </w:rPr>
      </w:pPr>
    </w:p>
    <w:p>
      <w:pPr>
        <w:spacing w:after="0"/>
        <w:ind w:left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__________________/А.А. Щелканов/</w:t>
      </w:r>
    </w:p>
    <w:p>
      <w:pPr>
        <w:spacing w:after="0"/>
        <w:ind w:left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«___» _________ 2024 г.</w:t>
      </w:r>
    </w:p>
    <w:p>
      <w:pPr>
        <w:spacing w:after="0"/>
        <w:ind w:left="5529"/>
        <w:rPr>
          <w:rFonts w:ascii="Times New Roman" w:hAnsi="Times New Roman" w:cs="Times New Roman"/>
        </w:rPr>
      </w:pPr>
    </w:p>
    <w:p>
      <w:pPr>
        <w:spacing w:after="0"/>
        <w:jc w:val="right"/>
        <w:rPr>
          <w:rFonts w:ascii="Times New Roman" w:hAnsi="Times New Roman" w:cs="Times New Roman"/>
        </w:rPr>
      </w:pPr>
    </w:p>
    <w:p>
      <w:pPr>
        <w:spacing w:after="0"/>
        <w:jc w:val="right"/>
        <w:rPr>
          <w:rFonts w:ascii="Times New Roman" w:hAnsi="Times New Roman" w:cs="Times New Roman"/>
        </w:rPr>
      </w:pPr>
    </w:p>
    <w:p>
      <w:pPr>
        <w:spacing w:after="0"/>
        <w:jc w:val="right"/>
        <w:rPr>
          <w:rFonts w:ascii="Times New Roman" w:hAnsi="Times New Roman" w:cs="Times New Roman"/>
        </w:rPr>
      </w:pPr>
    </w:p>
    <w:p>
      <w:pPr>
        <w:spacing w:after="0"/>
        <w:jc w:val="right"/>
        <w:rPr>
          <w:rFonts w:ascii="Times New Roman" w:hAnsi="Times New Roman" w:cs="Times New Roman"/>
        </w:rPr>
      </w:pPr>
    </w:p>
    <w:p>
      <w:pPr>
        <w:spacing w:after="0"/>
        <w:jc w:val="right"/>
        <w:rPr>
          <w:rFonts w:ascii="Times New Roman" w:hAnsi="Times New Roman" w:cs="Times New Roman"/>
        </w:rPr>
      </w:pPr>
    </w:p>
    <w:p>
      <w:pPr>
        <w:spacing w:after="0"/>
        <w:jc w:val="right"/>
        <w:rPr>
          <w:rFonts w:ascii="Times New Roman" w:hAnsi="Times New Roman" w:cs="Times New Roman"/>
        </w:rPr>
      </w:pPr>
    </w:p>
    <w:p>
      <w:pPr>
        <w:spacing w:after="0"/>
        <w:jc w:val="right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ПОЛОЖЕНИЕ</w:t>
      </w: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ЕЖЕГОДНОЙ ПРЕМИИ ДЕЛОВОГО ИЗДАНИЯ «ВЕДОМОСТИ СЕВЕРО-ЗАПАД» </w:t>
      </w:r>
    </w:p>
    <w:p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«ЛИДЕР МНЕНИЯ» </w:t>
      </w:r>
    </w:p>
    <w:bookmarkEnd w:id="0"/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САНКТ-ПЕТЕРБУРГ, 2024 г.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pStyle w:val="13"/>
        <w:numPr>
          <w:ilvl w:val="0"/>
          <w:numId w:val="1"/>
        </w:numPr>
        <w:spacing w:after="240" w:line="480" w:lineRule="auto"/>
        <w:ind w:left="0"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ОБЩИЕ ПОЛОЖЕНИЯ</w:t>
      </w:r>
    </w:p>
    <w:p>
      <w:pPr>
        <w:pStyle w:val="13"/>
        <w:numPr>
          <w:ilvl w:val="1"/>
          <w:numId w:val="1"/>
        </w:numPr>
        <w:spacing w:before="240" w:after="120" w:line="360" w:lineRule="auto"/>
        <w:ind w:left="0"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Настоящее Положение регламентирует цели, задачи и порядок (регламент) проведения Премии «Лидер Мнения» (далее – </w:t>
      </w:r>
      <w:r>
        <w:rPr>
          <w:rFonts w:ascii="Times New Roman" w:hAnsi="Times New Roman" w:cs="Times New Roman"/>
          <w:b/>
        </w:rPr>
        <w:t>Премия</w:t>
      </w:r>
      <w:r>
        <w:rPr>
          <w:rFonts w:ascii="Times New Roman" w:hAnsi="Times New Roman" w:cs="Times New Roman"/>
        </w:rPr>
        <w:t>), в том числе порядок определения лауреатов и присуждения Премии.</w:t>
      </w:r>
    </w:p>
    <w:p>
      <w:pPr>
        <w:pStyle w:val="13"/>
        <w:numPr>
          <w:ilvl w:val="1"/>
          <w:numId w:val="1"/>
        </w:numPr>
        <w:spacing w:before="240" w:after="12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Организатором Премии является издатель делового издания «Ведомости. Северо-Запад»  - ООО «Балтик Бизнес Медиа» (ИНН 7825431988, Почтовый адрес: 191119, Санкт-Петербург г, ул. Марата, д.82, БЦ «Марата 82», офис А6-4-13).</w:t>
      </w: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В настоящем Положении, помимо вышеуказанных, используются следующие основные понятия и определения:</w:t>
      </w:r>
    </w:p>
    <w:p>
      <w:pPr>
        <w:pStyle w:val="13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Жюри Премии</w:t>
      </w:r>
      <w:r>
        <w:rPr>
          <w:rFonts w:ascii="Times New Roman" w:hAnsi="Times New Roman"/>
          <w:b/>
        </w:rPr>
        <w:t xml:space="preserve"> – </w:t>
      </w:r>
      <w:r>
        <w:rPr>
          <w:rFonts w:ascii="Times New Roman" w:hAnsi="Times New Roman" w:cs="Times New Roman"/>
          <w:bCs/>
        </w:rPr>
        <w:t xml:space="preserve">специальный коллегиальный совещательный орган, который формируется и утверждается Организатором Премии из числа представителей отраслевых организаций и ведомств, представителей федеральных и региональных органов власти, а также ведущих экспертов. Количество членов Жюри Премии определяется Организатором. Состав Жюри может быть опубликован на сайте </w:t>
      </w:r>
      <w:r>
        <w:fldChar w:fldCharType="begin"/>
      </w:r>
      <w:r>
        <w:instrText xml:space="preserve"> HYPERLINK "https://spb.vedomosti.ru" </w:instrText>
      </w:r>
      <w:r>
        <w:fldChar w:fldCharType="separate"/>
      </w:r>
      <w:r>
        <w:rPr>
          <w:rStyle w:val="6"/>
          <w:rFonts w:ascii="Times New Roman" w:hAnsi="Times New Roman" w:cs="Times New Roman"/>
          <w:bCs/>
        </w:rPr>
        <w:t>https://spb.vedomosti.ru</w:t>
      </w:r>
      <w:r>
        <w:rPr>
          <w:rStyle w:val="6"/>
          <w:rFonts w:ascii="Times New Roman" w:hAnsi="Times New Roman" w:cs="Times New Roman"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. </w:t>
      </w:r>
    </w:p>
    <w:p>
      <w:pPr>
        <w:pStyle w:val="13"/>
        <w:numPr>
          <w:ilvl w:val="2"/>
          <w:numId w:val="1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Конкурсные номинации</w:t>
      </w:r>
      <w:r>
        <w:rPr>
          <w:rFonts w:ascii="Times New Roman" w:hAnsi="Times New Roman"/>
          <w:b/>
        </w:rPr>
        <w:t xml:space="preserve"> – </w:t>
      </w:r>
      <w:r>
        <w:rPr>
          <w:rFonts w:ascii="Times New Roman" w:hAnsi="Times New Roman" w:cs="Times New Roman"/>
          <w:bCs/>
        </w:rPr>
        <w:t xml:space="preserve">перечень номинаций Премии, учреждаемый для определения Лауреатов Премии.  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Лауреат – </w:t>
      </w:r>
      <w:r>
        <w:rPr>
          <w:rFonts w:ascii="Times New Roman" w:hAnsi="Times New Roman" w:cs="Times New Roman"/>
          <w:bCs/>
        </w:rPr>
        <w:t xml:space="preserve">Номинант, публикации которого присвоен наивысший балл в соответствующей Конкурсной номинации согласно Методике оценки. 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Методика оценки – </w:t>
      </w:r>
      <w:r>
        <w:rPr>
          <w:rFonts w:ascii="Times New Roman" w:hAnsi="Times New Roman" w:cs="Times New Roman"/>
        </w:rPr>
        <w:t>предусмотренный настоящим Положением порядок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>определения лауреатов премии.</w:t>
      </w:r>
      <w:r>
        <w:rPr>
          <w:rFonts w:ascii="Times New Roman" w:hAnsi="Times New Roman" w:cs="Times New Roman"/>
          <w:b/>
        </w:rPr>
        <w:t xml:space="preserve"> </w:t>
      </w:r>
    </w:p>
    <w:p>
      <w:pPr>
        <w:pStyle w:val="13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Номинант – </w:t>
      </w:r>
      <w:r>
        <w:rPr>
          <w:rFonts w:ascii="Times New Roman" w:hAnsi="Times New Roman" w:cs="Times New Roman"/>
          <w:bCs/>
        </w:rPr>
        <w:t xml:space="preserve">соискатель, публикации которого отобрана в соответствии с критериями, определенными настоящим Положением. </w:t>
      </w:r>
    </w:p>
    <w:p>
      <w:pPr>
        <w:pStyle w:val="13"/>
        <w:numPr>
          <w:ilvl w:val="2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Соискатели </w:t>
      </w:r>
      <w:r>
        <w:rPr>
          <w:rFonts w:ascii="Times New Roman" w:hAnsi="Times New Roman" w:cs="Times New Roman"/>
          <w:bCs/>
        </w:rPr>
        <w:t>– авторы публикаций, размещенных в разделе «Мнение» на сайте https://spb.vedomosti.ru/rubrics/opinion, с 01.01.2023 по 31.12.2023 гг., соответствующие критериям указанным в настоящем Положении.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Партнеры Премии</w:t>
      </w:r>
      <w:r>
        <w:rPr>
          <w:rFonts w:ascii="Times New Roman" w:hAnsi="Times New Roman" w:cs="Times New Roman"/>
        </w:rPr>
        <w:t xml:space="preserve"> – лица, в том числе организации всех организационно-правовых форм собственности, оказывающие материальную, техническую, информационную и иную поддержку Премии. Минимальное количество Партнеров Премии не оговаривается.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Сроки проведения Премии</w:t>
      </w:r>
      <w:r>
        <w:rPr>
          <w:rFonts w:ascii="Times New Roman" w:hAnsi="Times New Roman" w:cs="Times New Roman"/>
        </w:rPr>
        <w:t xml:space="preserve"> –  с </w:t>
      </w:r>
      <w:r>
        <w:rPr>
          <w:rFonts w:ascii="Times New Roman" w:hAnsi="Times New Roman" w:cs="Times New Roman"/>
          <w:bCs/>
        </w:rPr>
        <w:t>01.01.2023 по 31.03.2024 гг.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Церемония вручения Премии</w:t>
      </w:r>
      <w:r>
        <w:rPr>
          <w:rFonts w:ascii="Times New Roman" w:hAnsi="Times New Roman" w:cs="Times New Roman"/>
        </w:rPr>
        <w:t xml:space="preserve"> – торжественное мероприятие награждения Лауреатов Премии на условиях настоящего Положения, с проведением торжественной церемонии вручения Премии Лауреатам в соответствующих Конкурсных номинациях.</w:t>
      </w:r>
    </w:p>
    <w:p>
      <w:pPr>
        <w:pStyle w:val="13"/>
        <w:numPr>
          <w:ilvl w:val="1"/>
          <w:numId w:val="1"/>
        </w:numPr>
        <w:spacing w:before="240" w:after="120" w:line="360" w:lineRule="auto"/>
        <w:ind w:left="0"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Премия проводится каждый календарный год на территории Российской Федерации. Премия присваивается Лауреатам, на указанных в настоящем Положении условиях. Премия учреждена и проводится с 2024 г.</w:t>
      </w: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 w:cs="Times New Roman"/>
        </w:rPr>
        <w:t xml:space="preserve">Премия является открытой (публичной). Отбор Соискателей и Номинантов осуществляется Организатором в соответствии с настоящим Положением. Присуждение Премии </w:t>
      </w:r>
      <w:r>
        <w:rPr>
          <w:rFonts w:ascii="Times New Roman" w:hAnsi="Times New Roman"/>
        </w:rPr>
        <w:t>осуществляется на конкурсной основе один раз в год.</w:t>
      </w: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Настоящее Положение может быть опубликовано Организатором на сайте </w:t>
      </w:r>
      <w:r>
        <w:fldChar w:fldCharType="begin"/>
      </w:r>
      <w:r>
        <w:instrText xml:space="preserve"> HYPERLINK "https://spb.vedomosti.ru" </w:instrText>
      </w:r>
      <w:r>
        <w:fldChar w:fldCharType="separate"/>
      </w:r>
      <w:r>
        <w:rPr>
          <w:rStyle w:val="6"/>
          <w:rFonts w:ascii="Times New Roman" w:hAnsi="Times New Roman" w:cs="Times New Roman"/>
        </w:rPr>
        <w:t>https://spb.vedomosti.ru</w:t>
      </w:r>
      <w:r>
        <w:rPr>
          <w:rStyle w:val="6"/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, а также может быть предоставлено заинтересованным лицам по их запросу. </w:t>
      </w: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Соискатель / Номинант / Лауреат и уполномоченные им лица считаются присоединившимися к настоящему Положению, подтвердившими свое согласие с условиями настоящего Положения в случае направления ими заявки организатору или согласия на участие в Премии.</w:t>
      </w: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Целью премии является развитие сотрудничества между представителями бизнес-сообщества, органами государственной власти и средствами массовой информации, повышение информированности общества о развитии различных сфер экономики России, сбор и распространение информации об опыте </w:t>
      </w:r>
      <w:r>
        <w:rPr>
          <w:rFonts w:ascii="Times New Roman" w:hAnsi="Times New Roman" w:cs="Times New Roman"/>
          <w:bCs/>
        </w:rPr>
        <w:t xml:space="preserve">представителей отраслевых организаций и ведомств, представителей федеральных и региональных органов власти, а также ведущих экспертов в различных областях знаний </w:t>
      </w:r>
      <w:r>
        <w:rPr>
          <w:rFonts w:ascii="Times New Roman" w:hAnsi="Times New Roman" w:cs="Times New Roman"/>
        </w:rPr>
        <w:t>по созданию и распространению общественно значимого контента.</w:t>
      </w: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10"/>
          <w:szCs w:val="10"/>
        </w:rPr>
      </w:pPr>
    </w:p>
    <w:p>
      <w:pPr>
        <w:pStyle w:val="13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ОРГАНЫ УПРАВЛЕНИЯ И ИХ ФУНКЦИИ</w:t>
      </w:r>
    </w:p>
    <w:p>
      <w:pPr>
        <w:pStyle w:val="13"/>
        <w:spacing w:after="0" w:line="360" w:lineRule="auto"/>
        <w:ind w:left="0" w:firstLine="709"/>
        <w:rPr>
          <w:rFonts w:ascii="Times New Roman" w:hAnsi="Times New Roman" w:cs="Times New Roman"/>
          <w:b/>
          <w:sz w:val="10"/>
          <w:szCs w:val="10"/>
        </w:rPr>
      </w:pPr>
    </w:p>
    <w:p>
      <w:pPr>
        <w:pStyle w:val="13"/>
        <w:numPr>
          <w:ilvl w:val="1"/>
          <w:numId w:val="1"/>
        </w:numPr>
        <w:spacing w:before="240" w:after="120" w:line="360" w:lineRule="auto"/>
        <w:ind w:left="0"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Функции Организатора: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Определение основных направлений развития Премии, в том числе принятие решения об изменении, приостановлении и прекращении (ликвидации) Премии. 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и утверждение состава Жюри Премии.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Назначение Председателя Жюри Премии из числа членов Жюри Премии.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Обеспечение проведения Премии и Церемонии вручения Премии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Утверждение списка номинаций Премии и утверждение изменений в них. Принятие решения о присуждении Премии в специальных номинациях.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Утверждение Положения о Премии и изменений в него. 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Организатор вправе вносить любые изменения и дополнения в настоящее Положение, донося их посредством публикации на Сайте.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Извещение потенциальных Соискателей/ Номинантов / Лауреатов о сроках, порядке и условиях проведения конкурса.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Организационно-техническая работа в т.ч. делопроизводство и документооборот по проведению конкурса Премии, Церемонии вручения Премии, обеспечению деятельности Жюри Премии.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Привлечение Партнеров Премии и координация работы с ними.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Организация освещения Премии и Церемонии вручения Премии в средствах массовой информации (СМИ). 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Создание равных условий участия в Премии для всех Соискателей/ Номинантов / Лауреатов.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Обеспечение гласности проведения и вручения Премии. 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Осуществляет иные функции, связанные с проведением Премии. </w:t>
      </w:r>
    </w:p>
    <w:p>
      <w:pPr>
        <w:pStyle w:val="13"/>
        <w:numPr>
          <w:ilvl w:val="1"/>
          <w:numId w:val="1"/>
        </w:numPr>
        <w:spacing w:before="240" w:after="120" w:line="360" w:lineRule="auto"/>
        <w:ind w:left="0"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Порядок работы и функции Жюри Премии.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Осуществление оценки номинантов и лауреатов согласно Методике оценки заочно. В определённой номинации каждый член Жюри оценивает каждый проект. 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Решения принимаются простым большинством голосов членов Жюри Премии. 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Итоги проведенной членами Жюри оценки оформляются протокольным решением, которое подписывает Председатель Жюри.</w:t>
      </w: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</w:p>
    <w:p>
      <w:pPr>
        <w:pStyle w:val="13"/>
        <w:numPr>
          <w:ilvl w:val="0"/>
          <w:numId w:val="1"/>
        </w:numPr>
        <w:spacing w:after="0" w:line="480" w:lineRule="auto"/>
        <w:ind w:left="0"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ПАРТНЕРЫ ПРЕМИИ</w:t>
      </w: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Статус Партнера Премии присваивается на основании заключенного с Организатором Премии договора. </w:t>
      </w: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Партнеру Премии предоставляется ряд презентационных возможностей в соответствии с заключенным договором, в том числе размещение Организатором информации о Партнере в рекламной кампании Премии в средствах массовой информации, а также во время проведения Церемонии награждения Лауреатов Премии.</w:t>
      </w: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10"/>
          <w:szCs w:val="10"/>
        </w:rPr>
      </w:pPr>
    </w:p>
    <w:p>
      <w:pPr>
        <w:pStyle w:val="13"/>
        <w:numPr>
          <w:ilvl w:val="0"/>
          <w:numId w:val="1"/>
        </w:numPr>
        <w:spacing w:before="360" w:after="360" w:line="240" w:lineRule="auto"/>
        <w:ind w:left="0"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ПЕРЕЧЕНЬ НОМИНАЦИЙ ПРЕМИИ</w:t>
      </w:r>
    </w:p>
    <w:p>
      <w:pPr>
        <w:pStyle w:val="13"/>
        <w:spacing w:before="360" w:after="360" w:line="240" w:lineRule="auto"/>
        <w:ind w:left="0" w:firstLine="709"/>
        <w:rPr>
          <w:rFonts w:ascii="Times New Roman" w:hAnsi="Times New Roman"/>
          <w:b/>
          <w:sz w:val="20"/>
          <w:szCs w:val="20"/>
        </w:rPr>
      </w:pP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 xml:space="preserve">Для определения Лауреатов Премии в 2024 году из числа авторов публикаций, </w:t>
      </w:r>
      <w:r>
        <w:rPr>
          <w:rFonts w:ascii="Times New Roman" w:hAnsi="Times New Roman" w:cs="Times New Roman"/>
          <w:bCs/>
          <w:highlight w:val="yellow"/>
        </w:rPr>
        <w:t>размещенных в рубрике «Мнение» на сайте https://spb.vedomosti.ru/rubrics/opinion,</w:t>
      </w:r>
      <w:r>
        <w:rPr>
          <w:rFonts w:ascii="Times New Roman" w:hAnsi="Times New Roman"/>
          <w:highlight w:val="yellow"/>
        </w:rPr>
        <w:t xml:space="preserve"> учреждается номинация: «Лучший автор экспертной колонки» 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Лауреаты выбираются по следующим направлениям:</w:t>
      </w: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«Экономика и финансы»</w:t>
      </w: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«Рынок недвижимости»</w:t>
      </w: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«Индустрия гостеприимства»</w:t>
      </w: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«Рынок труда и образования»</w:t>
      </w: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«Информационные технологии и телеком» </w:t>
      </w: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«Экология и устойчивое развитие»</w:t>
      </w: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«Транспорт и логистика»</w:t>
      </w: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 xml:space="preserve">Для определения Лауреатов Премии из числа экспертов, которые стали самыми упоминаемыми спикерами в редакционных текстах издания «Ведомости Северо-Запад» (сайт </w:t>
      </w:r>
      <w:r>
        <w:fldChar w:fldCharType="begin"/>
      </w:r>
      <w:r>
        <w:instrText xml:space="preserve"> HYPERLINK "https://spb.vedomosti.ru/" </w:instrText>
      </w:r>
      <w:r>
        <w:fldChar w:fldCharType="separate"/>
      </w:r>
      <w:r>
        <w:rPr>
          <w:rStyle w:val="6"/>
          <w:rFonts w:ascii="Times New Roman" w:hAnsi="Times New Roman"/>
          <w:highlight w:val="yellow"/>
        </w:rPr>
        <w:t>https://spb.vedomosti.ru/</w:t>
      </w:r>
      <w:r>
        <w:rPr>
          <w:rStyle w:val="6"/>
          <w:rFonts w:ascii="Times New Roman" w:hAnsi="Times New Roman"/>
          <w:highlight w:val="yellow"/>
        </w:rPr>
        <w:fldChar w:fldCharType="end"/>
      </w:r>
      <w:r>
        <w:rPr>
          <w:rFonts w:ascii="Times New Roman" w:hAnsi="Times New Roman"/>
          <w:highlight w:val="yellow"/>
        </w:rPr>
        <w:t>) за 2023 г., учреждается номинация: «Самый цитируемый эксперт»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 xml:space="preserve"> Лауреаты выбираются по следующим направлениям:</w:t>
      </w: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«Экономика и финансы»</w:t>
      </w: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«Рынок недвижимости»</w:t>
      </w: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«Индустрия гостеприимства»</w:t>
      </w: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«Рынок труда и образования»</w:t>
      </w: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«Информационные технологии и телеком» </w:t>
      </w: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«Экология и устойчивое развитие»</w:t>
      </w: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«Промышленность, производство и транспорт»</w:t>
      </w: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Наряду с перечисленными в настоящем разделе Конкурсными номинациями Организатором могут быть учреждены также специальные номинации (Дополнительные Конкурсные номинации).</w:t>
      </w: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 Конкурсных номинаций может быть изменен/ дополнен Организатором в одностороннем порядке.</w:t>
      </w:r>
    </w:p>
    <w:p>
      <w:pPr>
        <w:spacing w:after="0" w:line="360" w:lineRule="auto"/>
        <w:ind w:firstLine="709"/>
        <w:jc w:val="both"/>
        <w:rPr>
          <w:rFonts w:ascii="Times New Roman" w:hAnsi="Times New Roman"/>
          <w:bCs/>
          <w:highlight w:val="yellow"/>
        </w:rPr>
      </w:pP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/>
          <w:sz w:val="10"/>
          <w:szCs w:val="10"/>
          <w:highlight w:val="yellow"/>
        </w:rPr>
      </w:pPr>
    </w:p>
    <w:p>
      <w:pPr>
        <w:pStyle w:val="1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ПОРЯДОК </w:t>
      </w:r>
    </w:p>
    <w:p>
      <w:pPr>
        <w:pStyle w:val="1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ОПРЕДЕЛЕНИЯ НОМИНАНТОВ</w:t>
      </w:r>
    </w:p>
    <w:p>
      <w:pPr>
        <w:pStyle w:val="1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highlight w:val="yellow"/>
        </w:rPr>
      </w:pPr>
      <w:r>
        <w:rPr>
          <w:rFonts w:ascii="Times New Roman" w:hAnsi="Times New Roman" w:cs="Times New Roman"/>
          <w:highlight w:val="yellow"/>
        </w:rPr>
        <w:t xml:space="preserve">Для определения Номинантов в номинации, указанной в п. 4.1. настоящего Положения, Организатор премии отбирает авторов публикаций, </w:t>
      </w:r>
      <w:r>
        <w:rPr>
          <w:rFonts w:ascii="Times New Roman" w:hAnsi="Times New Roman" w:cs="Times New Roman"/>
          <w:bCs/>
          <w:highlight w:val="yellow"/>
        </w:rPr>
        <w:t xml:space="preserve">размещенных в рубрике «Мнение» на сайте https://spb.vedomosti.ru/rubrics/opinion, с 01.01.2023 по 31.12.2023 гг., набравших наибольшее количество просмотров согласно данным «Яндекс. Метрики», но не менее 1000. </w:t>
      </w: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highlight w:val="yellow"/>
        </w:rPr>
      </w:pPr>
      <w:r>
        <w:rPr>
          <w:rFonts w:ascii="Times New Roman" w:hAnsi="Times New Roman" w:cs="Times New Roman"/>
          <w:bCs/>
          <w:highlight w:val="yellow"/>
        </w:rPr>
        <w:t xml:space="preserve">Номинанты в Номинации, предусмотренной разделом 4.2. данного Положения, отбираются </w:t>
      </w:r>
      <w:r>
        <w:rPr>
          <w:rFonts w:ascii="Times New Roman" w:hAnsi="Times New Roman" w:cs="Times New Roman"/>
          <w:highlight w:val="yellow"/>
        </w:rPr>
        <w:t>Организатором премии</w:t>
      </w:r>
      <w:r>
        <w:rPr>
          <w:rFonts w:ascii="Times New Roman" w:hAnsi="Times New Roman"/>
          <w:highlight w:val="yellow"/>
        </w:rPr>
        <w:t xml:space="preserve"> среди экспертов редакционных публикаций, </w:t>
      </w:r>
      <w:r>
        <w:rPr>
          <w:rFonts w:ascii="Times New Roman" w:hAnsi="Times New Roman" w:cs="Times New Roman"/>
          <w:bCs/>
          <w:highlight w:val="yellow"/>
        </w:rPr>
        <w:t xml:space="preserve">в которых было представлено мнение конкретного эксперта, </w:t>
      </w:r>
      <w:r>
        <w:rPr>
          <w:rFonts w:ascii="Times New Roman" w:hAnsi="Times New Roman"/>
          <w:highlight w:val="yellow"/>
        </w:rPr>
        <w:t xml:space="preserve">собравших самое высокое количество просмотров на сайте </w:t>
      </w:r>
      <w:r>
        <w:rPr>
          <w:rFonts w:ascii="Times New Roman" w:hAnsi="Times New Roman" w:cs="Times New Roman"/>
          <w:bCs/>
          <w:highlight w:val="yellow"/>
        </w:rPr>
        <w:t xml:space="preserve">https://spb.vedomosti.ru/ за 2023 г. </w:t>
      </w: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highlight w:val="yellow"/>
        </w:rPr>
      </w:pPr>
      <w:r>
        <w:rPr>
          <w:rFonts w:ascii="Times New Roman" w:hAnsi="Times New Roman"/>
          <w:highlight w:val="yellow"/>
        </w:rPr>
        <w:t xml:space="preserve">Количество Номинантов в каждой Конкурсной номинации определяет </w:t>
      </w:r>
      <w:r>
        <w:rPr>
          <w:rFonts w:ascii="Times New Roman" w:hAnsi="Times New Roman" w:cs="Times New Roman"/>
          <w:highlight w:val="yellow"/>
        </w:rPr>
        <w:t>Организатор премии.</w:t>
      </w: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highlight w:val="yellow"/>
        </w:rPr>
      </w:pPr>
      <w:r>
        <w:rPr>
          <w:rFonts w:ascii="Times New Roman" w:hAnsi="Times New Roman" w:cs="Times New Roman"/>
          <w:highlight w:val="yellow"/>
        </w:rPr>
        <w:t xml:space="preserve">Один автор/эксперт может стать номинантом только один раз и в одной номинации. Если автор/эксперт разместил несколько публикаций в рубрике «Мнение» или участвовал в нескольких редакционных текстах, для участия в премии отбирается та публикация, которая собрала самое большое количество просмотров согласно </w:t>
      </w:r>
      <w:r>
        <w:rPr>
          <w:rFonts w:ascii="Times New Roman" w:hAnsi="Times New Roman" w:cs="Times New Roman"/>
          <w:bCs/>
          <w:highlight w:val="yellow"/>
        </w:rPr>
        <w:t xml:space="preserve">«Яндекс. Метрике», но не менее 1000. </w:t>
      </w: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highlight w:val="yellow"/>
        </w:rPr>
        <w:t xml:space="preserve">Организаторы Премии оставляют за собой право самостоятельно проводить распределение отобранных для участия в Премии Номинантов по направлениям номинаций. </w:t>
      </w: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определяет Номинантов премии по итогам 2023 г. не позднее 1 февраля 2024 г.</w:t>
      </w:r>
    </w:p>
    <w:p>
      <w:pPr>
        <w:pStyle w:val="13"/>
        <w:numPr>
          <w:ilvl w:val="1"/>
          <w:numId w:val="1"/>
        </w:numPr>
        <w:spacing w:before="240"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определения Номинантов Премии Организатор запрашивает у авторов согласие на участие в Премии и использование личной информации автора: ФИО, должность, контактная информация (для внутреннего использования). При отказе Соискателя или Номинанта предоставить информацию Организатор вправе отстранить автора от дальнейшего участия в Премии по основаниям, указанным в данном разделе.</w:t>
      </w: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</w:p>
    <w:p>
      <w:pPr>
        <w:pStyle w:val="13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highlight w:val="yellow"/>
        </w:rPr>
      </w:pPr>
      <w:r>
        <w:rPr>
          <w:rFonts w:ascii="Times New Roman" w:hAnsi="Times New Roman" w:cs="Times New Roman"/>
          <w:b/>
          <w:highlight w:val="yellow"/>
        </w:rPr>
        <w:t>ПОРЯДОК ОПРЕДЕЛЕНИЯ ЛАУРЕАТОВ</w:t>
      </w:r>
    </w:p>
    <w:p>
      <w:pPr>
        <w:pStyle w:val="13"/>
        <w:spacing w:after="0" w:line="360" w:lineRule="auto"/>
        <w:ind w:left="0" w:firstLine="709"/>
        <w:rPr>
          <w:rFonts w:ascii="Times New Roman" w:hAnsi="Times New Roman" w:cs="Times New Roman"/>
          <w:b/>
          <w:sz w:val="10"/>
          <w:szCs w:val="10"/>
          <w:highlight w:val="yellow"/>
        </w:rPr>
      </w:pP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highlight w:val="yellow"/>
        </w:rPr>
      </w:pPr>
      <w:r>
        <w:rPr>
          <w:rFonts w:ascii="Times New Roman" w:hAnsi="Times New Roman"/>
          <w:highlight w:val="yellow"/>
        </w:rPr>
        <w:t xml:space="preserve">Лауреатов из числа авторов публикаций, </w:t>
      </w:r>
      <w:r>
        <w:rPr>
          <w:rFonts w:ascii="Times New Roman" w:hAnsi="Times New Roman" w:cs="Times New Roman"/>
          <w:bCs/>
          <w:highlight w:val="yellow"/>
        </w:rPr>
        <w:t xml:space="preserve">размещенных в рубрике «Мнение» на сайте  </w:t>
      </w:r>
      <w:r>
        <w:fldChar w:fldCharType="begin"/>
      </w:r>
      <w:r>
        <w:instrText xml:space="preserve"> HYPERLINK "https://spb.vedomosti.ru/rubrics/opinion" </w:instrText>
      </w:r>
      <w:r>
        <w:fldChar w:fldCharType="separate"/>
      </w:r>
      <w:r>
        <w:rPr>
          <w:rStyle w:val="6"/>
          <w:rFonts w:ascii="Times New Roman" w:hAnsi="Times New Roman" w:cs="Times New Roman"/>
          <w:bCs/>
          <w:highlight w:val="yellow"/>
        </w:rPr>
        <w:t>https://spb.vedomosti.ru/rubrics/opinion</w:t>
      </w:r>
      <w:r>
        <w:rPr>
          <w:rStyle w:val="6"/>
          <w:rFonts w:ascii="Times New Roman" w:hAnsi="Times New Roman" w:cs="Times New Roman"/>
          <w:bCs/>
          <w:highlight w:val="yellow"/>
        </w:rPr>
        <w:fldChar w:fldCharType="end"/>
      </w:r>
      <w:r>
        <w:rPr>
          <w:rFonts w:ascii="Times New Roman" w:hAnsi="Times New Roman"/>
          <w:highlight w:val="yellow"/>
        </w:rPr>
        <w:t xml:space="preserve">, определяют члены жюри методом заочного голосования. </w:t>
      </w:r>
      <w:r>
        <w:rPr>
          <w:rFonts w:ascii="Times New Roman" w:hAnsi="Times New Roman" w:cs="Times New Roman"/>
          <w:bCs/>
          <w:highlight w:val="yellow"/>
        </w:rPr>
        <w:t xml:space="preserve">Каждый член жюри оценивает все публикации в определенных Организатором номинациях, определяет победителя конкурса, руководствуясь личным субъективным мнением. 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highlight w:val="yellow"/>
        </w:rPr>
      </w:pPr>
      <w:r>
        <w:rPr>
          <w:rFonts w:ascii="Times New Roman" w:hAnsi="Times New Roman" w:cs="Times New Roman"/>
          <w:bCs/>
          <w:highlight w:val="yellow"/>
        </w:rPr>
        <w:t xml:space="preserve">Жюри оценивает каждую публикацию в каждой Номинации по пятибалльной шкале, где 5 — это высший балл, а 1 — самый низкий. Затем все оценки голосовавших членов жюри в данной Номинации суммируются для получения общего результата. Автор получившей наибольшее количество баллов Публикации становится </w:t>
      </w:r>
      <w:r>
        <w:rPr>
          <w:rFonts w:ascii="Times New Roman" w:hAnsi="Times New Roman"/>
          <w:highlight w:val="yellow"/>
        </w:rPr>
        <w:t xml:space="preserve">Лауреатом Премии в своей Номинации. </w:t>
      </w:r>
      <w:r>
        <w:rPr>
          <w:rFonts w:ascii="Times New Roman" w:hAnsi="Times New Roman" w:cs="Times New Roman"/>
          <w:highlight w:val="yellow"/>
        </w:rPr>
        <w:t xml:space="preserve">В течении 14 (четырнадцати) календарных дней после публикации списка номинантов, каждый член Жюри осуществляет оценку материалов Номинанта, </w:t>
      </w:r>
      <w:r>
        <w:rPr>
          <w:rFonts w:ascii="Times New Roman" w:hAnsi="Times New Roman" w:cs="Times New Roman"/>
          <w:bCs/>
          <w:highlight w:val="yellow"/>
        </w:rPr>
        <w:t>размещенных в рубрике «Мнение» на сайте https://spb.vedomosti.ru/rubrics/opinion,</w:t>
      </w:r>
      <w:r>
        <w:rPr>
          <w:rFonts w:ascii="Times New Roman" w:hAnsi="Times New Roman" w:cs="Times New Roman"/>
          <w:highlight w:val="yellow"/>
        </w:rPr>
        <w:t xml:space="preserve"> в определенной Организатором номинации согласно Методике.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highlight w:val="yellow"/>
        </w:rPr>
      </w:pPr>
      <w:r>
        <w:rPr>
          <w:rFonts w:ascii="Times New Roman" w:hAnsi="Times New Roman" w:cs="Times New Roman"/>
          <w:bCs/>
          <w:highlight w:val="yellow"/>
        </w:rPr>
        <w:t>Результатом работы Жюри Премии является итоговый список Лауреатов Премии.</w:t>
      </w: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highlight w:val="yellow"/>
        </w:rPr>
      </w:pPr>
      <w:r>
        <w:rPr>
          <w:rFonts w:ascii="Times New Roman" w:hAnsi="Times New Roman" w:cs="Times New Roman"/>
          <w:bCs/>
          <w:highlight w:val="yellow"/>
        </w:rPr>
        <w:t>Лауреаты в Номинации, предусмотренной разделом 4.2. данного Положения, отбираются Организатором Премии</w:t>
      </w:r>
      <w:r>
        <w:rPr>
          <w:rFonts w:ascii="Times New Roman" w:hAnsi="Times New Roman"/>
          <w:highlight w:val="yellow"/>
        </w:rPr>
        <w:t xml:space="preserve">. </w:t>
      </w: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10"/>
          <w:szCs w:val="10"/>
        </w:rPr>
      </w:pPr>
    </w:p>
    <w:p>
      <w:pPr>
        <w:pStyle w:val="13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ОБЪЯВЛЕНИЕ ЛАУРЕАТОВ И ПОРЯДОК ВРУЧЕНИЯ ПРЕМИЙ</w:t>
      </w:r>
    </w:p>
    <w:p>
      <w:pPr>
        <w:spacing w:after="0" w:line="360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объявления Лауреатов проводится специальное мероприятие – Церемония вручения Премии. </w:t>
      </w: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о времени и месте проведения Церемонии</w:t>
      </w:r>
      <w:r>
        <w:rPr>
          <w:rFonts w:ascii="TimesNewRomanPSMT" w:hAnsi="TimesNewRomanPSMT"/>
          <w:sz w:val="28"/>
        </w:rPr>
        <w:t xml:space="preserve"> </w:t>
      </w:r>
      <w:r>
        <w:rPr>
          <w:rFonts w:ascii="Times New Roman" w:hAnsi="Times New Roman" w:cs="Times New Roman"/>
        </w:rPr>
        <w:t>вручения Премии принимается Организатором Премии.</w:t>
      </w: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Решения Жюри Премии оглашаются и Премии вручаются на Церемонии вручения Премии, проводимой в качестве отдельного мероприятия. </w:t>
      </w: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Лауреатам премии вручаются дипломы и Памятный знак «Лидер Мнения». Памятный знак не является переходящим и становится собственностью Лауреата.</w:t>
      </w: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10"/>
          <w:szCs w:val="10"/>
        </w:rPr>
      </w:pPr>
    </w:p>
    <w:p>
      <w:pPr>
        <w:pStyle w:val="13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ФИНАНСИРОВАНИЕ И МАТЕРИАЛЬНО-ТЕХНИЧЕСКЕОЕ ОБЕСПЕЧЕНИЕ ПРЕМИИ</w:t>
      </w:r>
    </w:p>
    <w:p>
      <w:pPr>
        <w:pStyle w:val="13"/>
        <w:spacing w:after="0" w:line="360" w:lineRule="auto"/>
        <w:ind w:left="0" w:firstLine="709"/>
        <w:rPr>
          <w:rFonts w:ascii="Times New Roman" w:hAnsi="Times New Roman" w:cs="Times New Roman"/>
          <w:b/>
          <w:sz w:val="10"/>
          <w:szCs w:val="10"/>
        </w:rPr>
      </w:pP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Источниками финансового и материально-технического обеспечения мероприятий Премии могут быть: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Собственные средства Организатора Премии;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Взносы Партнеров;</w:t>
      </w:r>
    </w:p>
    <w:p>
      <w:pPr>
        <w:pStyle w:val="13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Иные, не запрещенные законодательством Российской Федерации, источники финансирования.</w:t>
      </w:r>
    </w:p>
    <w:p>
      <w:pPr>
        <w:pStyle w:val="1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10"/>
          <w:szCs w:val="10"/>
        </w:rPr>
      </w:pPr>
    </w:p>
    <w:p>
      <w:pPr>
        <w:pStyle w:val="13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aps/>
        </w:rPr>
        <w:t>Особые обстоятельства</w:t>
      </w:r>
    </w:p>
    <w:p>
      <w:pPr>
        <w:pStyle w:val="13"/>
        <w:spacing w:after="0" w:line="360" w:lineRule="auto"/>
        <w:ind w:left="0" w:firstLine="709"/>
        <w:rPr>
          <w:rFonts w:ascii="Times New Roman" w:hAnsi="Times New Roman" w:cs="Times New Roman"/>
          <w:b/>
          <w:sz w:val="10"/>
          <w:szCs w:val="10"/>
        </w:rPr>
      </w:pP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не несут ответственности за неисполнение либо ненадлежащее исполнение своих обязательств, явившихся результатом сбоев в телекоммуникационных и энергетических сетях, действий вредоносных программ, а также недобросовестных действий третьих лиц, направленных на несанкционированный доступ и/или выведение из строя Сайта и иных задействованных ресурсов.</w:t>
      </w: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имеет право отстранить (исключить) Номинанта от участия в Премии в случае несоблюдения Номинантом каких-либо условий, установленных настоящим Положением.</w:t>
      </w: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имеет право отказать во вручении Премии Лауреату в случае несоблюдения Лауреатом каких-либо условий, установленных настоящим Положением.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>
      <w:pPr>
        <w:pStyle w:val="13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КОНФИДЕНЦИАЛЬНОСТЬ ИНФОРМАЦИИ</w:t>
      </w:r>
    </w:p>
    <w:p>
      <w:pPr>
        <w:pStyle w:val="13"/>
        <w:spacing w:after="0" w:line="360" w:lineRule="auto"/>
        <w:ind w:left="0" w:firstLine="709"/>
        <w:rPr>
          <w:rFonts w:ascii="Times New Roman" w:hAnsi="Times New Roman" w:cs="Times New Roman"/>
          <w:b/>
          <w:sz w:val="6"/>
          <w:szCs w:val="6"/>
        </w:rPr>
      </w:pP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Жюри Премии, Организатор Премии обязуются соблюдать конфиденциальность в отношении информации, полученной от Соискателей, не разглашать, не копировать, не воспроизводить и не распространять информацию либо иным образом использовать информацию в целях, отличных от предусмотренных настоящим Положением. </w:t>
      </w:r>
    </w:p>
    <w:p>
      <w:pPr>
        <w:pStyle w:val="1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Отношения или иное взаимодействие Организаторов Премии, Жюри Премии, Номинантов, Соискателей и Лауреатов Премии, связанные с реализацией настоящего Положения и которые могут повлечь или повлекли обращение с информацией, составляющей коммерческую, государственную или иную охраняемую Законом тайну, регулируются законодательством Российской Федерации.</w:t>
      </w:r>
    </w:p>
    <w:sectPr>
      <w:footerReference r:id="rId5" w:type="default"/>
      <w:pgSz w:w="11906" w:h="16838"/>
      <w:pgMar w:top="1134" w:right="567" w:bottom="1134" w:left="1418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NewRomanPSMT">
    <w:altName w:val="Times New Roman"/>
    <w:panose1 w:val="020B0604020202020204"/>
    <w:charset w:val="00"/>
    <w:family w:val="roman"/>
    <w:pitch w:val="default"/>
    <w:sig w:usb0="00000000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5583646"/>
      <w:docPartObj>
        <w:docPartGallery w:val="AutoText"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>
        <w:pPr>
          <w:pStyle w:val="11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>7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B51D17"/>
    <w:multiLevelType w:val="multilevel"/>
    <w:tmpl w:val="4BB51D17"/>
    <w:lvl w:ilvl="0" w:tentative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entative="0">
      <w:start w:val="1"/>
      <w:numFmt w:val="decimal"/>
      <w:lvlText w:val="%1.%2."/>
      <w:lvlJc w:val="left"/>
      <w:pPr>
        <w:ind w:left="1141" w:hanging="432"/>
      </w:pPr>
      <w:rPr>
        <w:b/>
      </w:rPr>
    </w:lvl>
    <w:lvl w:ilvl="2" w:tentative="0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0E"/>
    <w:rsid w:val="00001A09"/>
    <w:rsid w:val="0000330B"/>
    <w:rsid w:val="0000756D"/>
    <w:rsid w:val="00014538"/>
    <w:rsid w:val="0001632C"/>
    <w:rsid w:val="0002393E"/>
    <w:rsid w:val="000258F6"/>
    <w:rsid w:val="00025DB1"/>
    <w:rsid w:val="0003241A"/>
    <w:rsid w:val="00044828"/>
    <w:rsid w:val="000474AF"/>
    <w:rsid w:val="00047E66"/>
    <w:rsid w:val="00051BE7"/>
    <w:rsid w:val="000550A9"/>
    <w:rsid w:val="00057AB8"/>
    <w:rsid w:val="00062446"/>
    <w:rsid w:val="00062570"/>
    <w:rsid w:val="00084A43"/>
    <w:rsid w:val="00086C78"/>
    <w:rsid w:val="0008713A"/>
    <w:rsid w:val="00090288"/>
    <w:rsid w:val="00090892"/>
    <w:rsid w:val="00095792"/>
    <w:rsid w:val="000A7FB4"/>
    <w:rsid w:val="000B0F7D"/>
    <w:rsid w:val="000C1ADB"/>
    <w:rsid w:val="000C366A"/>
    <w:rsid w:val="000C368C"/>
    <w:rsid w:val="000C3BBA"/>
    <w:rsid w:val="000C3F09"/>
    <w:rsid w:val="000C46FA"/>
    <w:rsid w:val="000C6AB9"/>
    <w:rsid w:val="000D591A"/>
    <w:rsid w:val="000F0B7A"/>
    <w:rsid w:val="000F2348"/>
    <w:rsid w:val="000F6C7D"/>
    <w:rsid w:val="001155F4"/>
    <w:rsid w:val="00132134"/>
    <w:rsid w:val="001408EF"/>
    <w:rsid w:val="001422DE"/>
    <w:rsid w:val="00152E97"/>
    <w:rsid w:val="0015680C"/>
    <w:rsid w:val="001631AD"/>
    <w:rsid w:val="0017555B"/>
    <w:rsid w:val="001822FB"/>
    <w:rsid w:val="00182FAF"/>
    <w:rsid w:val="00185155"/>
    <w:rsid w:val="001975C2"/>
    <w:rsid w:val="001A1DB4"/>
    <w:rsid w:val="001A2F80"/>
    <w:rsid w:val="001A6DBC"/>
    <w:rsid w:val="001A7E0E"/>
    <w:rsid w:val="001B2EC1"/>
    <w:rsid w:val="001B3E47"/>
    <w:rsid w:val="001D3AAA"/>
    <w:rsid w:val="001E0087"/>
    <w:rsid w:val="001F0097"/>
    <w:rsid w:val="001F7521"/>
    <w:rsid w:val="00201BB9"/>
    <w:rsid w:val="0020218C"/>
    <w:rsid w:val="00202E53"/>
    <w:rsid w:val="00213945"/>
    <w:rsid w:val="00217647"/>
    <w:rsid w:val="00223407"/>
    <w:rsid w:val="00223AE6"/>
    <w:rsid w:val="00226FE7"/>
    <w:rsid w:val="00235B6A"/>
    <w:rsid w:val="00243A11"/>
    <w:rsid w:val="00250B08"/>
    <w:rsid w:val="00261731"/>
    <w:rsid w:val="0026534E"/>
    <w:rsid w:val="002802E8"/>
    <w:rsid w:val="00280488"/>
    <w:rsid w:val="0028354C"/>
    <w:rsid w:val="00285099"/>
    <w:rsid w:val="00285CF5"/>
    <w:rsid w:val="002938DA"/>
    <w:rsid w:val="00295AFD"/>
    <w:rsid w:val="002A0640"/>
    <w:rsid w:val="002A6579"/>
    <w:rsid w:val="002B2AA0"/>
    <w:rsid w:val="002C30C7"/>
    <w:rsid w:val="002E2696"/>
    <w:rsid w:val="002F1EC4"/>
    <w:rsid w:val="00310228"/>
    <w:rsid w:val="003133ED"/>
    <w:rsid w:val="003243DB"/>
    <w:rsid w:val="00327558"/>
    <w:rsid w:val="003348AC"/>
    <w:rsid w:val="0033571F"/>
    <w:rsid w:val="003358F5"/>
    <w:rsid w:val="00341B70"/>
    <w:rsid w:val="0034651F"/>
    <w:rsid w:val="00354E9A"/>
    <w:rsid w:val="00366BD5"/>
    <w:rsid w:val="00373979"/>
    <w:rsid w:val="00376E38"/>
    <w:rsid w:val="00391959"/>
    <w:rsid w:val="003A70B8"/>
    <w:rsid w:val="003B3C02"/>
    <w:rsid w:val="003C1DE9"/>
    <w:rsid w:val="003C1F97"/>
    <w:rsid w:val="003C4C7B"/>
    <w:rsid w:val="003C5EC5"/>
    <w:rsid w:val="003C7AFD"/>
    <w:rsid w:val="003D07A0"/>
    <w:rsid w:val="00417AD2"/>
    <w:rsid w:val="004234CF"/>
    <w:rsid w:val="00423ADB"/>
    <w:rsid w:val="00424206"/>
    <w:rsid w:val="00425CA9"/>
    <w:rsid w:val="004271A8"/>
    <w:rsid w:val="00430E52"/>
    <w:rsid w:val="004466BA"/>
    <w:rsid w:val="00456C26"/>
    <w:rsid w:val="00456D30"/>
    <w:rsid w:val="004607AD"/>
    <w:rsid w:val="004617F4"/>
    <w:rsid w:val="00461FF3"/>
    <w:rsid w:val="0047061E"/>
    <w:rsid w:val="0047766F"/>
    <w:rsid w:val="00480979"/>
    <w:rsid w:val="00484384"/>
    <w:rsid w:val="004A429F"/>
    <w:rsid w:val="004B1B5D"/>
    <w:rsid w:val="004B551C"/>
    <w:rsid w:val="004B7931"/>
    <w:rsid w:val="004C14BC"/>
    <w:rsid w:val="004C1AF6"/>
    <w:rsid w:val="004D0553"/>
    <w:rsid w:val="004D2DDD"/>
    <w:rsid w:val="004D3FB2"/>
    <w:rsid w:val="004D4794"/>
    <w:rsid w:val="004D5F8B"/>
    <w:rsid w:val="004F0969"/>
    <w:rsid w:val="004F37CF"/>
    <w:rsid w:val="00514DA7"/>
    <w:rsid w:val="00530145"/>
    <w:rsid w:val="00532D93"/>
    <w:rsid w:val="00535FE7"/>
    <w:rsid w:val="005510BA"/>
    <w:rsid w:val="005541D9"/>
    <w:rsid w:val="0057141D"/>
    <w:rsid w:val="00587541"/>
    <w:rsid w:val="0059145D"/>
    <w:rsid w:val="00591C8E"/>
    <w:rsid w:val="00597E78"/>
    <w:rsid w:val="00597FA0"/>
    <w:rsid w:val="005A1E42"/>
    <w:rsid w:val="005B15C6"/>
    <w:rsid w:val="005C03A3"/>
    <w:rsid w:val="005C379E"/>
    <w:rsid w:val="005C4DD1"/>
    <w:rsid w:val="005C7A24"/>
    <w:rsid w:val="005D4536"/>
    <w:rsid w:val="005D52A0"/>
    <w:rsid w:val="005D621C"/>
    <w:rsid w:val="005D6AB0"/>
    <w:rsid w:val="005E1537"/>
    <w:rsid w:val="005E69A1"/>
    <w:rsid w:val="005F16B7"/>
    <w:rsid w:val="005F1E06"/>
    <w:rsid w:val="005F4730"/>
    <w:rsid w:val="006048AC"/>
    <w:rsid w:val="00606B1F"/>
    <w:rsid w:val="00612C0E"/>
    <w:rsid w:val="00636580"/>
    <w:rsid w:val="0063743F"/>
    <w:rsid w:val="0064041A"/>
    <w:rsid w:val="006475A8"/>
    <w:rsid w:val="00656253"/>
    <w:rsid w:val="00657DE5"/>
    <w:rsid w:val="0066240C"/>
    <w:rsid w:val="00663A39"/>
    <w:rsid w:val="006717A6"/>
    <w:rsid w:val="00675B8A"/>
    <w:rsid w:val="00691886"/>
    <w:rsid w:val="006936FE"/>
    <w:rsid w:val="00697794"/>
    <w:rsid w:val="006A044F"/>
    <w:rsid w:val="006B1980"/>
    <w:rsid w:val="006B24EF"/>
    <w:rsid w:val="006B360C"/>
    <w:rsid w:val="006B73A6"/>
    <w:rsid w:val="006B7EF8"/>
    <w:rsid w:val="006C03F6"/>
    <w:rsid w:val="006C25D7"/>
    <w:rsid w:val="006D4D7D"/>
    <w:rsid w:val="006D6B7F"/>
    <w:rsid w:val="006D7696"/>
    <w:rsid w:val="006E12F6"/>
    <w:rsid w:val="006E5E02"/>
    <w:rsid w:val="006F223A"/>
    <w:rsid w:val="006F6033"/>
    <w:rsid w:val="00704C53"/>
    <w:rsid w:val="00707963"/>
    <w:rsid w:val="007123E3"/>
    <w:rsid w:val="00722A66"/>
    <w:rsid w:val="00724A72"/>
    <w:rsid w:val="0072515C"/>
    <w:rsid w:val="007269D1"/>
    <w:rsid w:val="00727D03"/>
    <w:rsid w:val="00750E21"/>
    <w:rsid w:val="00755E48"/>
    <w:rsid w:val="007579A8"/>
    <w:rsid w:val="00760EBC"/>
    <w:rsid w:val="007656B7"/>
    <w:rsid w:val="0076787A"/>
    <w:rsid w:val="0077025D"/>
    <w:rsid w:val="00770674"/>
    <w:rsid w:val="00786A78"/>
    <w:rsid w:val="00793479"/>
    <w:rsid w:val="007941C7"/>
    <w:rsid w:val="0079659E"/>
    <w:rsid w:val="007A0F52"/>
    <w:rsid w:val="007A6DD4"/>
    <w:rsid w:val="007B7F73"/>
    <w:rsid w:val="007C09DC"/>
    <w:rsid w:val="007C4D99"/>
    <w:rsid w:val="007D39F8"/>
    <w:rsid w:val="007E42F5"/>
    <w:rsid w:val="007E4800"/>
    <w:rsid w:val="007F7EF9"/>
    <w:rsid w:val="00807A24"/>
    <w:rsid w:val="0081300E"/>
    <w:rsid w:val="00817E18"/>
    <w:rsid w:val="008309BE"/>
    <w:rsid w:val="00833D07"/>
    <w:rsid w:val="0083550A"/>
    <w:rsid w:val="00835908"/>
    <w:rsid w:val="00835A13"/>
    <w:rsid w:val="00835DBD"/>
    <w:rsid w:val="00845C12"/>
    <w:rsid w:val="00850371"/>
    <w:rsid w:val="00852C88"/>
    <w:rsid w:val="0085444F"/>
    <w:rsid w:val="00865D5C"/>
    <w:rsid w:val="00870D50"/>
    <w:rsid w:val="00872043"/>
    <w:rsid w:val="00875F4F"/>
    <w:rsid w:val="00881623"/>
    <w:rsid w:val="00894453"/>
    <w:rsid w:val="00895D99"/>
    <w:rsid w:val="008A07F4"/>
    <w:rsid w:val="008B1BD3"/>
    <w:rsid w:val="008B538E"/>
    <w:rsid w:val="008B59D3"/>
    <w:rsid w:val="008B5EA5"/>
    <w:rsid w:val="008C0BF5"/>
    <w:rsid w:val="008C1D05"/>
    <w:rsid w:val="008C48C8"/>
    <w:rsid w:val="008C622F"/>
    <w:rsid w:val="008D37AC"/>
    <w:rsid w:val="008D3AB1"/>
    <w:rsid w:val="008D4904"/>
    <w:rsid w:val="008D5E42"/>
    <w:rsid w:val="008E1BF3"/>
    <w:rsid w:val="008F6A21"/>
    <w:rsid w:val="009072D0"/>
    <w:rsid w:val="00912F09"/>
    <w:rsid w:val="00915117"/>
    <w:rsid w:val="0093499A"/>
    <w:rsid w:val="009405AC"/>
    <w:rsid w:val="00944302"/>
    <w:rsid w:val="009456C4"/>
    <w:rsid w:val="00960917"/>
    <w:rsid w:val="009700B4"/>
    <w:rsid w:val="00972279"/>
    <w:rsid w:val="00974910"/>
    <w:rsid w:val="009808A0"/>
    <w:rsid w:val="00983EFC"/>
    <w:rsid w:val="00990D50"/>
    <w:rsid w:val="00991918"/>
    <w:rsid w:val="0099338F"/>
    <w:rsid w:val="009946D2"/>
    <w:rsid w:val="009A4DFB"/>
    <w:rsid w:val="009A4F7B"/>
    <w:rsid w:val="009B75EA"/>
    <w:rsid w:val="009C07A3"/>
    <w:rsid w:val="009C56ED"/>
    <w:rsid w:val="009D3E6F"/>
    <w:rsid w:val="009E2BAB"/>
    <w:rsid w:val="009E375C"/>
    <w:rsid w:val="00A000D2"/>
    <w:rsid w:val="00A06260"/>
    <w:rsid w:val="00A07480"/>
    <w:rsid w:val="00A1007D"/>
    <w:rsid w:val="00A12076"/>
    <w:rsid w:val="00A13AD3"/>
    <w:rsid w:val="00A153A6"/>
    <w:rsid w:val="00A20CA2"/>
    <w:rsid w:val="00A22A96"/>
    <w:rsid w:val="00A25FC8"/>
    <w:rsid w:val="00A260C9"/>
    <w:rsid w:val="00A27C0F"/>
    <w:rsid w:val="00A30267"/>
    <w:rsid w:val="00A3074C"/>
    <w:rsid w:val="00A31CA0"/>
    <w:rsid w:val="00A44BF1"/>
    <w:rsid w:val="00A47C5B"/>
    <w:rsid w:val="00A60E5C"/>
    <w:rsid w:val="00A709A0"/>
    <w:rsid w:val="00A740AD"/>
    <w:rsid w:val="00A7440D"/>
    <w:rsid w:val="00A845B3"/>
    <w:rsid w:val="00A84CB9"/>
    <w:rsid w:val="00A86824"/>
    <w:rsid w:val="00A86E32"/>
    <w:rsid w:val="00A86F8F"/>
    <w:rsid w:val="00A87677"/>
    <w:rsid w:val="00A96029"/>
    <w:rsid w:val="00A96629"/>
    <w:rsid w:val="00AA127B"/>
    <w:rsid w:val="00AB17AF"/>
    <w:rsid w:val="00AC3381"/>
    <w:rsid w:val="00AD250A"/>
    <w:rsid w:val="00AD37B9"/>
    <w:rsid w:val="00AD6BE1"/>
    <w:rsid w:val="00AE068E"/>
    <w:rsid w:val="00AE6F23"/>
    <w:rsid w:val="00AE71A5"/>
    <w:rsid w:val="00B13E2D"/>
    <w:rsid w:val="00B16ACB"/>
    <w:rsid w:val="00B209FE"/>
    <w:rsid w:val="00B21CD7"/>
    <w:rsid w:val="00B2319E"/>
    <w:rsid w:val="00B2489B"/>
    <w:rsid w:val="00B25655"/>
    <w:rsid w:val="00B26719"/>
    <w:rsid w:val="00B32AA6"/>
    <w:rsid w:val="00B351E3"/>
    <w:rsid w:val="00B45EDB"/>
    <w:rsid w:val="00B611D6"/>
    <w:rsid w:val="00B64591"/>
    <w:rsid w:val="00B770D6"/>
    <w:rsid w:val="00B7719B"/>
    <w:rsid w:val="00B81FA8"/>
    <w:rsid w:val="00BA1761"/>
    <w:rsid w:val="00BA5D17"/>
    <w:rsid w:val="00BC3B86"/>
    <w:rsid w:val="00BC7DAE"/>
    <w:rsid w:val="00BD46CF"/>
    <w:rsid w:val="00BD5A55"/>
    <w:rsid w:val="00BD6D50"/>
    <w:rsid w:val="00BF576B"/>
    <w:rsid w:val="00BF7D1A"/>
    <w:rsid w:val="00C1045B"/>
    <w:rsid w:val="00C14345"/>
    <w:rsid w:val="00C17AD8"/>
    <w:rsid w:val="00C21C54"/>
    <w:rsid w:val="00C30F98"/>
    <w:rsid w:val="00C4124C"/>
    <w:rsid w:val="00C46EE4"/>
    <w:rsid w:val="00C530E9"/>
    <w:rsid w:val="00C55BC5"/>
    <w:rsid w:val="00C55FFD"/>
    <w:rsid w:val="00C64E84"/>
    <w:rsid w:val="00C65F2D"/>
    <w:rsid w:val="00C710B9"/>
    <w:rsid w:val="00C77E37"/>
    <w:rsid w:val="00C81ECF"/>
    <w:rsid w:val="00C84571"/>
    <w:rsid w:val="00C87CB8"/>
    <w:rsid w:val="00C91CD8"/>
    <w:rsid w:val="00CA3ACD"/>
    <w:rsid w:val="00CA3DD6"/>
    <w:rsid w:val="00CA6B3F"/>
    <w:rsid w:val="00CB29CE"/>
    <w:rsid w:val="00CB427C"/>
    <w:rsid w:val="00CC3E88"/>
    <w:rsid w:val="00CC4529"/>
    <w:rsid w:val="00CC5A00"/>
    <w:rsid w:val="00CC7378"/>
    <w:rsid w:val="00CD35C2"/>
    <w:rsid w:val="00CF58EB"/>
    <w:rsid w:val="00D03879"/>
    <w:rsid w:val="00D11E60"/>
    <w:rsid w:val="00D160F0"/>
    <w:rsid w:val="00D22D49"/>
    <w:rsid w:val="00D416D6"/>
    <w:rsid w:val="00D41CB3"/>
    <w:rsid w:val="00D462B5"/>
    <w:rsid w:val="00D51617"/>
    <w:rsid w:val="00D6138C"/>
    <w:rsid w:val="00D64AF3"/>
    <w:rsid w:val="00D66C82"/>
    <w:rsid w:val="00D71EFB"/>
    <w:rsid w:val="00D75608"/>
    <w:rsid w:val="00D77CA6"/>
    <w:rsid w:val="00D82462"/>
    <w:rsid w:val="00D832BC"/>
    <w:rsid w:val="00D87CF2"/>
    <w:rsid w:val="00D9453E"/>
    <w:rsid w:val="00DA1B16"/>
    <w:rsid w:val="00DA6F92"/>
    <w:rsid w:val="00DB284E"/>
    <w:rsid w:val="00DB4CF0"/>
    <w:rsid w:val="00DC61C5"/>
    <w:rsid w:val="00DD28E6"/>
    <w:rsid w:val="00DD4C2E"/>
    <w:rsid w:val="00DE2316"/>
    <w:rsid w:val="00DE4957"/>
    <w:rsid w:val="00DE4977"/>
    <w:rsid w:val="00DF011A"/>
    <w:rsid w:val="00DF3152"/>
    <w:rsid w:val="00DF509C"/>
    <w:rsid w:val="00E0575E"/>
    <w:rsid w:val="00E1202E"/>
    <w:rsid w:val="00E1763D"/>
    <w:rsid w:val="00E20109"/>
    <w:rsid w:val="00E26478"/>
    <w:rsid w:val="00E31CAC"/>
    <w:rsid w:val="00E44107"/>
    <w:rsid w:val="00E62F84"/>
    <w:rsid w:val="00E677CF"/>
    <w:rsid w:val="00E7026E"/>
    <w:rsid w:val="00E824B2"/>
    <w:rsid w:val="00E8523A"/>
    <w:rsid w:val="00EA025E"/>
    <w:rsid w:val="00EA213F"/>
    <w:rsid w:val="00EB1B36"/>
    <w:rsid w:val="00EB412D"/>
    <w:rsid w:val="00EB7E48"/>
    <w:rsid w:val="00EC41B5"/>
    <w:rsid w:val="00ED1247"/>
    <w:rsid w:val="00EE08F8"/>
    <w:rsid w:val="00EE237B"/>
    <w:rsid w:val="00EE722F"/>
    <w:rsid w:val="00EE7804"/>
    <w:rsid w:val="00EF50AE"/>
    <w:rsid w:val="00EF57C4"/>
    <w:rsid w:val="00EF5FBF"/>
    <w:rsid w:val="00F0082A"/>
    <w:rsid w:val="00F16A59"/>
    <w:rsid w:val="00F21CB2"/>
    <w:rsid w:val="00F24146"/>
    <w:rsid w:val="00F36C02"/>
    <w:rsid w:val="00F4254B"/>
    <w:rsid w:val="00F50946"/>
    <w:rsid w:val="00F5354C"/>
    <w:rsid w:val="00F5706E"/>
    <w:rsid w:val="00F76C15"/>
    <w:rsid w:val="00F80DF9"/>
    <w:rsid w:val="00F80F12"/>
    <w:rsid w:val="00F83864"/>
    <w:rsid w:val="00F8572C"/>
    <w:rsid w:val="00F919F1"/>
    <w:rsid w:val="00F96EB2"/>
    <w:rsid w:val="00F970D7"/>
    <w:rsid w:val="00FA0458"/>
    <w:rsid w:val="00FA4825"/>
    <w:rsid w:val="00FA672B"/>
    <w:rsid w:val="00FC7BEF"/>
    <w:rsid w:val="00FE08E4"/>
    <w:rsid w:val="00FE5E1C"/>
    <w:rsid w:val="00FE6C36"/>
    <w:rsid w:val="00FE71FA"/>
    <w:rsid w:val="00FE723E"/>
    <w:rsid w:val="00FF678B"/>
    <w:rsid w:val="6E85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annotation reference"/>
    <w:basedOn w:val="2"/>
    <w:semiHidden/>
    <w:unhideWhenUsed/>
    <w:uiPriority w:val="99"/>
    <w:rPr>
      <w:sz w:val="16"/>
      <w:szCs w:val="16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annotation text"/>
    <w:basedOn w:val="1"/>
    <w:link w:val="14"/>
    <w:unhideWhenUsed/>
    <w:uiPriority w:val="99"/>
    <w:pPr>
      <w:spacing w:line="240" w:lineRule="auto"/>
    </w:pPr>
    <w:rPr>
      <w:sz w:val="20"/>
      <w:szCs w:val="20"/>
    </w:rPr>
  </w:style>
  <w:style w:type="paragraph" w:styleId="9">
    <w:name w:val="annotation subject"/>
    <w:basedOn w:val="8"/>
    <w:next w:val="8"/>
    <w:link w:val="15"/>
    <w:semiHidden/>
    <w:unhideWhenUsed/>
    <w:qFormat/>
    <w:uiPriority w:val="99"/>
    <w:rPr>
      <w:b/>
      <w:bCs/>
    </w:rPr>
  </w:style>
  <w:style w:type="paragraph" w:styleId="10">
    <w:name w:val="header"/>
    <w:basedOn w:val="1"/>
    <w:link w:val="1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footer"/>
    <w:basedOn w:val="1"/>
    <w:link w:val="2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2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Текст примечания Знак"/>
    <w:basedOn w:val="2"/>
    <w:link w:val="8"/>
    <w:qFormat/>
    <w:uiPriority w:val="99"/>
    <w:rPr>
      <w:sz w:val="20"/>
      <w:szCs w:val="20"/>
    </w:rPr>
  </w:style>
  <w:style w:type="character" w:customStyle="1" w:styleId="15">
    <w:name w:val="Тема примечания Знак"/>
    <w:basedOn w:val="14"/>
    <w:link w:val="9"/>
    <w:semiHidden/>
    <w:uiPriority w:val="99"/>
    <w:rPr>
      <w:b/>
      <w:bCs/>
      <w:sz w:val="20"/>
      <w:szCs w:val="20"/>
    </w:rPr>
  </w:style>
  <w:style w:type="character" w:customStyle="1" w:styleId="16">
    <w:name w:val="Текст выноски Знак"/>
    <w:basedOn w:val="2"/>
    <w:link w:val="7"/>
    <w:semiHidden/>
    <w:uiPriority w:val="99"/>
    <w:rPr>
      <w:rFonts w:ascii="Tahoma" w:hAnsi="Tahoma" w:cs="Tahoma"/>
      <w:sz w:val="16"/>
      <w:szCs w:val="16"/>
    </w:rPr>
  </w:style>
  <w:style w:type="paragraph" w:customStyle="1" w:styleId="17">
    <w:name w:val="Revision"/>
    <w:hidden/>
    <w:semiHidden/>
    <w:uiPriority w:val="99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8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Верхний колонтитул Знак"/>
    <w:basedOn w:val="2"/>
    <w:link w:val="10"/>
    <w:uiPriority w:val="99"/>
  </w:style>
  <w:style w:type="character" w:customStyle="1" w:styleId="20">
    <w:name w:val="Нижний колонтитул Знак"/>
    <w:basedOn w:val="2"/>
    <w:link w:val="11"/>
    <w:uiPriority w:val="99"/>
  </w:style>
  <w:style w:type="character" w:customStyle="1" w:styleId="21">
    <w:name w:val="Неразрешенное упоминание2"/>
    <w:basedOn w:val="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Неразрешенное упоминание3"/>
    <w:basedOn w:val="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6BC8C-1353-4D58-95F2-FDDE214458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Sanoma Independent Media</Company>
  <Pages>7</Pages>
  <Words>1742</Words>
  <Characters>10558</Characters>
  <Lines>191</Lines>
  <Paragraphs>39</Paragraphs>
  <TotalTime>3</TotalTime>
  <ScaleCrop>false</ScaleCrop>
  <LinksUpToDate>false</LinksUpToDate>
  <CharactersWithSpaces>12261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2024-01-30T12:31:00Z</dcterms:created>
  <dc:creator>Антон Кочнев</dc:creator>
  <cp:lastModifiedBy>Asus</cp:lastModifiedBy>
  <cp:lastPrinted>2023-06-16T07:45:00Z</cp:lastPrinted>
  <dcterms:modified xsi:type="dcterms:W3CDTF">2024-02-01T14:20:07Z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5474FDD203B64F7B822B493287F38A4E_13</vt:lpwstr>
  </property>
</Properties>
</file>